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Allegato 1.1 alla delibera ANAC n. 294/2021 – Documento di attestazione per le pubbliche amministrazioni di cui al § 1.1.</w:t>
      </w:r>
    </w:p>
    <w:p>
      <w:pPr>
        <w:pStyle w:val="Normal"/>
        <w:spacing w:lineRule="atLeast" w:line="20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76" w:before="120" w:after="0"/>
        <w:ind w:left="717" w:right="0" w:hanging="36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L’OIV presso il COMUNE DI CAMPI BISENZIO ha effettuato, ai sensi dell’art. 14, co. 4, lett. g), del d.lgs. n. 150/2009 e delle </w:t>
      </w:r>
      <w:r>
        <w:rPr>
          <w:rFonts w:cs="Arial" w:ascii="Arial" w:hAnsi="Arial"/>
          <w:b/>
          <w:bCs/>
          <w:sz w:val="20"/>
          <w:szCs w:val="20"/>
        </w:rPr>
        <w:t>delibere ANAC n. 1310/2016 e n. 294/2021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, la verifica sulla pubblicazione, sulla completezza, sull’aggiornamento e sull’apertura del formato di ciascun documento, dato ed informazione elencati nell’Allegato 2.1.A (e Allegato 2.1.B per amministrazioni ed enti con uffici periferici) – Griglia di rilevazione al </w:t>
      </w:r>
      <w:r>
        <w:rPr>
          <w:rFonts w:cs="Arial" w:ascii="Arial" w:hAnsi="Arial"/>
          <w:b/>
          <w:bCs/>
          <w:sz w:val="20"/>
          <w:szCs w:val="20"/>
        </w:rPr>
        <w:t>31 maggio 2021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della delibera n. 294/2021.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76" w:before="120" w:after="0"/>
        <w:ind w:left="717" w:right="0" w:hanging="36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L’OIV ha svolto gli accertamenti:</w:t>
      </w:r>
    </w:p>
    <w:p>
      <w:pPr>
        <w:pStyle w:val="ListParagraph"/>
        <w:widowControl/>
        <w:tabs>
          <w:tab w:val="left" w:pos="1020" w:leader="none"/>
        </w:tabs>
        <w:suppressAutoHyphens w:val="true"/>
        <w:bidi w:val="0"/>
        <w:spacing w:lineRule="auto" w:line="276" w:before="120" w:after="0"/>
        <w:ind w:left="1020" w:right="0" w:hanging="283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X </w:t>
      </w:r>
      <w:r>
        <w:rPr>
          <w:rFonts w:cs="Arial" w:ascii="Arial" w:hAnsi="Arial"/>
          <w:b w:val="false"/>
          <w:bCs w:val="false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>
      <w:pPr>
        <w:pStyle w:val="ListParagraph"/>
        <w:widowControl/>
        <w:tabs>
          <w:tab w:val="left" w:pos="1020" w:leader="none"/>
        </w:tabs>
        <w:suppressAutoHyphens w:val="true"/>
        <w:bidi w:val="0"/>
        <w:spacing w:lineRule="auto" w:line="276" w:before="120" w:after="0"/>
        <w:ind w:left="1020" w:right="0" w:hanging="283"/>
        <w:jc w:val="both"/>
        <w:rPr/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□ </w:t>
      </w:r>
      <w:r>
        <w:rPr>
          <w:rFonts w:cs="Arial" w:ascii="Arial" w:hAnsi="Arial"/>
          <w:b w:val="false"/>
          <w:bCs w:val="false"/>
          <w:sz w:val="20"/>
          <w:szCs w:val="20"/>
        </w:rPr>
        <w:t>in assenza del Responsabile della prevenzione della corruzione e della trasparenza gli accertamenti sono stati svolti solo dall’OIV/ altro Organismo/soggetto con funzioni analoghe.</w:t>
      </w:r>
    </w:p>
    <w:p>
      <w:pPr>
        <w:pStyle w:val="ListParagraph"/>
        <w:widowControl/>
        <w:tabs>
          <w:tab w:val="left" w:pos="1250" w:leader="none"/>
        </w:tabs>
        <w:suppressAutoHyphens w:val="true"/>
        <w:bidi w:val="0"/>
        <w:spacing w:lineRule="auto" w:line="276" w:before="120" w:after="0"/>
        <w:ind w:left="397" w:right="0" w:firstLine="57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Sulla base di quanto sopra, l’OIV, ai sensi dell’art. 14, co. 4, lett. g), del d.lgs. n. 150/2009</w:t>
      </w:r>
    </w:p>
    <w:p>
      <w:pPr>
        <w:pStyle w:val="ListParagraph"/>
        <w:widowControl/>
        <w:tabs>
          <w:tab w:val="left" w:pos="1250" w:leader="none"/>
        </w:tabs>
        <w:suppressAutoHyphens w:val="true"/>
        <w:bidi w:val="0"/>
        <w:spacing w:lineRule="auto" w:line="276" w:before="120" w:after="0"/>
        <w:ind w:left="397" w:right="0" w:firstLine="57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ListParagraph"/>
        <w:widowControl/>
        <w:tabs>
          <w:tab w:val="left" w:pos="1250" w:leader="none"/>
        </w:tabs>
        <w:suppressAutoHyphens w:val="true"/>
        <w:bidi w:val="0"/>
        <w:spacing w:lineRule="auto" w:line="276" w:before="120" w:after="0"/>
        <w:ind w:left="397" w:right="0" w:firstLine="57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ATTESTA CHE</w:t>
      </w:r>
    </w:p>
    <w:p>
      <w:pPr>
        <w:pStyle w:val="ListParagraph"/>
        <w:widowControl/>
        <w:tabs>
          <w:tab w:val="left" w:pos="1250" w:leader="none"/>
        </w:tabs>
        <w:suppressAutoHyphens w:val="true"/>
        <w:bidi w:val="0"/>
        <w:spacing w:lineRule="auto" w:line="276" w:before="120" w:after="0"/>
        <w:ind w:left="397" w:right="0" w:firstLine="57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widowControl/>
        <w:spacing w:before="120" w:after="0"/>
        <w:ind w:left="388" w:right="0" w:firstLine="32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X </w:t>
      </w:r>
      <w:r>
        <w:rPr>
          <w:rFonts w:cs="Arial" w:ascii="Arial" w:hAnsi="Arial"/>
          <w:b w:val="false"/>
          <w:bCs w:val="false"/>
          <w:caps/>
          <w:sz w:val="20"/>
          <w:szCs w:val="20"/>
        </w:rPr>
        <w:t>l’</w:t>
      </w:r>
      <w:r>
        <w:rPr>
          <w:rFonts w:cs="Arial" w:ascii="Arial" w:hAnsi="Arial"/>
          <w:b w:val="false"/>
          <w:bCs w:val="false"/>
          <w:sz w:val="20"/>
          <w:szCs w:val="20"/>
        </w:rPr>
        <w:t>amministrazione/ente ha individuato misure organizzative che assicurano il regolare funzionamento dei flussi informativi per la pubblicazione dei dati nella sezione “Amministrazione trasparente”;</w:t>
      </w:r>
    </w:p>
    <w:p>
      <w:pPr>
        <w:pStyle w:val="ListParagraph"/>
        <w:widowControl/>
        <w:spacing w:before="120" w:after="0"/>
        <w:ind w:left="388" w:right="0" w:firstLine="320"/>
        <w:jc w:val="both"/>
        <w:rPr/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>□</w:t>
      </w:r>
      <w:r>
        <w:rPr>
          <w:rFonts w:eastAsia="Arial" w:cs="Arial" w:ascii="Arial" w:hAnsi="Arial"/>
          <w:b w:val="false"/>
          <w:bCs w:val="false"/>
          <w:caps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caps/>
          <w:sz w:val="20"/>
          <w:szCs w:val="20"/>
        </w:rPr>
        <w:t>l’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amministrazione/ente </w:t>
      </w:r>
      <w:r>
        <w:rPr>
          <w:rFonts w:cs="Arial" w:ascii="Arial" w:hAnsi="Arial"/>
          <w:b w:val="false"/>
          <w:bCs w:val="false"/>
          <w:sz w:val="20"/>
          <w:szCs w:val="20"/>
          <w:u w:val="single"/>
        </w:rPr>
        <w:t>NON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ha individuato misure organizzative che assicurano il regolare funzionamento dei flussi informativi per la pubblicazione dei dati nella sezione “Amministrazione trasparente”;</w:t>
      </w:r>
    </w:p>
    <w:p>
      <w:pPr>
        <w:pStyle w:val="ListParagraph"/>
        <w:widowControl/>
        <w:spacing w:before="120" w:after="0"/>
        <w:ind w:left="388" w:right="0" w:firstLine="32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X </w:t>
      </w:r>
      <w:r>
        <w:rPr>
          <w:rFonts w:cs="Arial" w:ascii="Arial" w:hAnsi="Arial"/>
          <w:b w:val="false"/>
          <w:bCs w:val="false"/>
          <w:caps/>
          <w:sz w:val="20"/>
          <w:szCs w:val="20"/>
        </w:rPr>
        <w:t>l’</w:t>
      </w:r>
      <w:r>
        <w:rPr>
          <w:rFonts w:cs="Arial" w:ascii="Arial" w:hAnsi="Arial"/>
          <w:b w:val="false"/>
          <w:bCs w:val="false"/>
          <w:sz w:val="20"/>
          <w:szCs w:val="20"/>
        </w:rPr>
        <w:t>amministrazione/ente ha individuato nella sezione Trasparenza del PTPC i responsabili della trasmissione e della pubblicazione dei documenti, delle informazioni e dei dati ai sensi dell’art. 10 del d.lgs. 33/2013;</w:t>
      </w:r>
    </w:p>
    <w:p>
      <w:pPr>
        <w:pStyle w:val="ListParagraph"/>
        <w:widowControl/>
        <w:tabs>
          <w:tab w:val="left" w:pos="1250" w:leader="none"/>
        </w:tabs>
        <w:suppressAutoHyphens w:val="true"/>
        <w:bidi w:val="0"/>
        <w:spacing w:lineRule="auto" w:line="276" w:before="120" w:after="0"/>
        <w:ind w:left="388" w:right="0" w:firstLine="320"/>
        <w:jc w:val="both"/>
        <w:rPr/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□ </w:t>
      </w:r>
      <w:r>
        <w:rPr>
          <w:rFonts w:cs="Arial" w:ascii="Arial" w:hAnsi="Arial"/>
          <w:b w:val="false"/>
          <w:bCs w:val="false"/>
          <w:caps/>
          <w:sz w:val="20"/>
          <w:szCs w:val="20"/>
        </w:rPr>
        <w:t>l’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amministrazione/ente </w:t>
      </w:r>
      <w:r>
        <w:rPr>
          <w:rFonts w:cs="Arial" w:ascii="Arial" w:hAnsi="Arial"/>
          <w:b w:val="false"/>
          <w:bCs w:val="false"/>
          <w:sz w:val="20"/>
          <w:szCs w:val="20"/>
          <w:u w:val="single"/>
        </w:rPr>
        <w:t>NON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>
      <w:pPr>
        <w:pStyle w:val="ListParagraph"/>
        <w:widowControl/>
        <w:tabs>
          <w:tab w:val="left" w:pos="1250" w:leader="none"/>
        </w:tabs>
        <w:suppressAutoHyphens w:val="true"/>
        <w:bidi w:val="0"/>
        <w:spacing w:lineRule="auto" w:line="276" w:before="120" w:after="0"/>
        <w:ind w:left="388" w:right="0" w:firstLine="32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X </w:t>
      </w:r>
      <w:r>
        <w:rPr>
          <w:rFonts w:cs="Arial" w:ascii="Arial" w:hAnsi="Arial"/>
          <w:b w:val="false"/>
          <w:bCs w:val="false"/>
          <w:caps/>
          <w:sz w:val="20"/>
          <w:szCs w:val="20"/>
        </w:rPr>
        <w:t>l’</w:t>
      </w:r>
      <w:r>
        <w:rPr>
          <w:rFonts w:cs="Arial" w:ascii="Arial" w:hAnsi="Arial"/>
          <w:b w:val="false"/>
          <w:bCs w:val="false"/>
          <w:sz w:val="20"/>
          <w:szCs w:val="20"/>
        </w:rPr>
        <w:t>amministrazione/ent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it-IT" w:eastAsia="zh-CN" w:bidi="ar-SA"/>
        </w:rPr>
        <w:t xml:space="preserve">e NON ha disposto filtri e/o altre soluzioni tecniche atte ad impedire ai motori di ricerca </w:t>
      </w:r>
      <w:r>
        <w:rPr>
          <w:rFonts w:eastAsia="Times New Roman" w:cs="Arial" w:ascii="Arial" w:hAnsi="Arial"/>
          <w:b w:val="false"/>
          <w:bCs w:val="false"/>
          <w:i/>
          <w:color w:val="auto"/>
          <w:sz w:val="20"/>
          <w:szCs w:val="20"/>
          <w:lang w:val="it-IT" w:eastAsia="zh-CN" w:bidi="ar-SA"/>
        </w:rPr>
        <w:t>web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it-IT" w:eastAsia="zh-CN" w:bidi="ar-SA"/>
        </w:rPr>
        <w:t xml:space="preserve"> di indicizzare ed effettuare ricerche all’interno della sezione AT, salvo le ipotesi consentite dalla normativa vigente;</w:t>
      </w:r>
    </w:p>
    <w:p>
      <w:pPr>
        <w:pStyle w:val="ListParagraph"/>
        <w:widowControl/>
        <w:tabs>
          <w:tab w:val="left" w:pos="1250" w:leader="none"/>
        </w:tabs>
        <w:suppressAutoHyphens w:val="true"/>
        <w:bidi w:val="0"/>
        <w:spacing w:lineRule="auto" w:line="276" w:before="120" w:after="0"/>
        <w:ind w:left="388" w:right="0" w:firstLine="320"/>
        <w:jc w:val="both"/>
        <w:rPr/>
      </w:pPr>
      <w:r>
        <w:rPr>
          <w:rFonts w:eastAsia="Arial" w:cs="Arial" w:ascii="Arial" w:hAnsi="Arial"/>
          <w:b w:val="false"/>
          <w:bCs w:val="false"/>
          <w:color w:val="auto"/>
          <w:sz w:val="20"/>
          <w:szCs w:val="20"/>
          <w:lang w:val="it-IT" w:eastAsia="zh-CN" w:bidi="ar-SA"/>
        </w:rPr>
        <w:t xml:space="preserve">□ </w:t>
      </w:r>
      <w:r>
        <w:rPr>
          <w:rFonts w:eastAsia="Times New Roman" w:cs="Arial" w:ascii="Arial" w:hAnsi="Arial"/>
          <w:b w:val="false"/>
          <w:bCs w:val="false"/>
          <w:caps/>
          <w:color w:val="auto"/>
          <w:sz w:val="20"/>
          <w:szCs w:val="20"/>
          <w:lang w:val="it-IT" w:eastAsia="zh-CN" w:bidi="ar-SA"/>
        </w:rPr>
        <w:t>l’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it-IT" w:eastAsia="zh-CN" w:bidi="ar-SA"/>
        </w:rPr>
        <w:t xml:space="preserve">amministrazione/ente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it-IT" w:eastAsia="zh-CN" w:bidi="ar-SA"/>
        </w:rPr>
        <w:t>ha disposto filtri e/o altre soluzioni tecniche atte ad impedire ai motori di ricerca web di indicizzare ed effettuare ricerche all’interno della sezione AT.</w:t>
      </w:r>
    </w:p>
    <w:p>
      <w:pPr>
        <w:pStyle w:val="ListParagraph"/>
        <w:widowControl/>
        <w:tabs>
          <w:tab w:val="left" w:pos="1250" w:leader="none"/>
        </w:tabs>
        <w:suppressAutoHyphens w:val="true"/>
        <w:bidi w:val="0"/>
        <w:spacing w:lineRule="auto" w:line="276" w:before="120" w:after="0"/>
        <w:ind w:left="388" w:right="0" w:firstLine="32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ListParagraph"/>
        <w:widowControl/>
        <w:tabs>
          <w:tab w:val="left" w:pos="1250" w:leader="none"/>
        </w:tabs>
        <w:suppressAutoHyphens w:val="true"/>
        <w:bidi w:val="0"/>
        <w:spacing w:lineRule="auto" w:line="276" w:before="120" w:after="0"/>
        <w:ind w:left="397" w:right="0" w:firstLine="57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ATTESTA</w:t>
      </w:r>
    </w:p>
    <w:p>
      <w:pPr>
        <w:pStyle w:val="ListParagraph"/>
        <w:widowControl/>
        <w:spacing w:before="120" w:after="0"/>
        <w:ind w:left="388" w:right="0" w:hanging="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la veridicità</w:t>
      </w:r>
      <w:r>
        <w:rPr>
          <w:rStyle w:val="Richiamoallanotaapidipagina"/>
          <w:rStyle w:val="Richiamoallanotaapidipagina"/>
          <w:rFonts w:cs="Arial" w:ascii="Arial" w:hAnsi="Arial"/>
          <w:b w:val="false"/>
          <w:bCs w:val="false"/>
          <w:sz w:val="20"/>
          <w:szCs w:val="20"/>
        </w:rPr>
        <w:footnoteReference w:id="2"/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e l’attendibilità, alla data dell’attestazione, di quanto riportato nell’Allegato 2.1.</w:t>
      </w:r>
      <w:r>
        <w:rPr>
          <w:rFonts w:cs="Arial" w:ascii="Arial" w:hAnsi="Arial"/>
          <w:b w:val="false"/>
          <w:bCs w:val="false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rispetto a quanto pubblicato sul sito dell’amministrazione/ente.</w:t>
      </w:r>
    </w:p>
    <w:p>
      <w:pPr>
        <w:pStyle w:val="Normal"/>
        <w:widowControl/>
        <w:tabs>
          <w:tab w:val="left" w:pos="1250" w:leader="none"/>
        </w:tabs>
        <w:suppressAutoHyphens w:val="true"/>
        <w:bidi w:val="0"/>
        <w:spacing w:lineRule="auto" w:line="276" w:before="120" w:after="0"/>
        <w:ind w:left="397" w:right="0" w:firstLine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Campi Bisenzio, </w:t>
      </w:r>
      <w:r>
        <w:rPr>
          <w:rFonts w:cs="Arial" w:ascii="Arial" w:hAnsi="Arial"/>
          <w:sz w:val="20"/>
          <w:szCs w:val="20"/>
        </w:rPr>
        <w:t>14 giugno 2021</w:t>
      </w:r>
    </w:p>
    <w:p>
      <w:pPr>
        <w:pStyle w:val="Normal"/>
        <w:spacing w:lineRule="atLeast" w:line="200"/>
        <w:ind w:left="0" w:righ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969" w:right="0" w:firstLine="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componenti dell'OIV</w:t>
      </w:r>
    </w:p>
    <w:p>
      <w:pPr>
        <w:pStyle w:val="Normal"/>
        <w:ind w:left="3969" w:right="0" w:firstLine="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969" w:right="0" w:firstLine="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F.to Dott.ssa Manuela Sodini</w:t>
      </w:r>
    </w:p>
    <w:p>
      <w:pPr>
        <w:pStyle w:val="Normal"/>
        <w:ind w:left="3969" w:right="0" w:firstLine="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969" w:right="0" w:firstLine="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969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F.to Dott. Leonardo Cioccolani</w:t>
      </w:r>
    </w:p>
    <w:p>
      <w:pPr>
        <w:pStyle w:val="Normal"/>
        <w:ind w:left="3969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969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969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F.to Dott. Stefano Tripi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2530" w:footer="541" w:bottom="14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Piazza Dante, 36  50013 Campi Bisenzio (FI) - PEC </w:t>
    </w:r>
    <w:hyperlink r:id="rId1">
      <w:r>
        <w:rPr>
          <w:rStyle w:val="CollegamentoInternet"/>
          <w:rFonts w:cs="Arial" w:ascii="Arial" w:hAnsi="Arial"/>
          <w:sz w:val="20"/>
          <w:szCs w:val="20"/>
        </w:rPr>
        <w:t>comune.campi-bisenzio@postacert.toscana.it</w:t>
      </w:r>
    </w:hyperlink>
  </w:p>
  <w:p>
    <w:pPr>
      <w:pStyle w:val="Normal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Codice Fiscale 80016750483 Partita IVA P.I. 00421110487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>
          <w:rStyle w:val="Caratterenotaapidipagina"/>
          <w:rFonts w:ascii="Arial" w:hAnsi="Arial" w:eastAsia="Arial" w:cs="Arial"/>
        </w:rPr>
      </w:pPr>
      <w:r>
        <w:rPr/>
        <w:footnoteRef/>
      </w:r>
      <w:r>
        <w:br w:type="page"/>
      </w:r>
    </w:p>
    <w:p>
      <w:pPr>
        <w:pStyle w:val="Footnotetext"/>
        <w:rPr/>
      </w:pPr>
      <w:r>
        <w:rPr>
          <w:rStyle w:val="Footnotereference"/>
        </w:rPr>
        <w:tab/>
      </w:r>
      <w:r>
        <w:rPr>
          <w:rFonts w:cs="Garamond" w:ascii="Garamond" w:hAnsi="Garamond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709" w:right="0" w:hanging="0"/>
      <w:rPr>
        <w:rFonts w:ascii="Arial" w:hAnsi="Arial" w:cs="Arial"/>
        <w:bCs/>
        <w:sz w:val="16"/>
        <w:szCs w:val="16"/>
      </w:rPr>
    </w:pPr>
    <w:r>
      <w:rPr>
        <w:rFonts w:cs="Arial" w:ascii="Arial" w:hAnsi="Arial"/>
        <w:bCs/>
        <w:sz w:val="16"/>
        <w:szCs w:val="16"/>
      </w:rPr>
      <w:object>
        <v:shape id="ole_rId1" style="width:31.35pt;height:59.35pt" o:ole="">
          <v:imagedata r:id="rId2" o:title=""/>
        </v:shape>
        <o:OLEObject Type="Embed" ProgID="" ShapeID="ole_rId1" DrawAspect="Content" ObjectID="_253542533" r:id="rId1"/>
      </w:object>
    </w:r>
  </w:p>
  <w:p>
    <w:pPr>
      <w:pStyle w:val="Normal"/>
      <w:ind w:left="993" w:right="0" w:hanging="0"/>
      <w:rPr/>
    </w:pPr>
    <w:r>
      <w:rPr>
        <w:rFonts w:eastAsia="Arial" w:cs="Arial" w:ascii="Arial" w:hAnsi="Arial"/>
        <w:bCs/>
        <w:sz w:val="22"/>
        <w:szCs w:val="22"/>
      </w:rPr>
      <w:t xml:space="preserve"> </w:t>
    </w:r>
    <w:r>
      <w:rPr>
        <w:rFonts w:cs="Arial" w:ascii="Arial" w:hAnsi="Arial"/>
        <w:bCs/>
        <w:sz w:val="22"/>
        <w:szCs w:val="22"/>
      </w:rPr>
      <w:t>Comune di Campi Bisenzio</w:t>
    </w:r>
  </w:p>
  <w:p>
    <w:pPr>
      <w:pStyle w:val="Normal"/>
      <w:widowControl w:val="false"/>
      <w:ind w:left="0" w:right="0" w:hanging="0"/>
      <w:rPr/>
    </w:pPr>
    <w:r>
      <w:rPr>
        <w:rFonts w:eastAsia="Arial" w:cs="Arial" w:ascii="Arial" w:hAnsi="Arial"/>
        <w:sz w:val="22"/>
        <w:szCs w:val="22"/>
      </w:rPr>
      <w:t xml:space="preserve">                </w:t>
    </w:r>
    <w:r>
      <w:rPr>
        <w:rFonts w:cs="Arial" w:ascii="Arial" w:hAnsi="Arial"/>
        <w:sz w:val="20"/>
        <w:szCs w:val="20"/>
      </w:rPr>
      <w:t>(Città Metropolitana di Firenze)</w:t>
    </w:r>
  </w:p>
  <w:p>
    <w:pPr>
      <w:pStyle w:val="Normal"/>
      <w:pBdr>
        <w:top w:val="single" w:sz="4" w:space="1" w:color="000000"/>
      </w:pBdr>
      <w:spacing w:before="120" w:after="0"/>
      <w:ind w:left="851" w:right="5528" w:hanging="0"/>
      <w:jc w:val="center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  <w:t>Organismo Indipendente di Valutazione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0"/>
        <w:b w:val="false"/>
        <w:szCs w:val="20"/>
        <w:bCs w:val="false"/>
        <w:rFonts w:ascii="Garamond" w:hAnsi="Garamond" w:cs="Garamond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WW8Num1z0">
    <w:name w:val="WW8Num1z0"/>
    <w:qFormat/>
    <w:rPr>
      <w:rFonts w:ascii="Garamond" w:hAnsi="Garamond" w:cs="Garamond"/>
      <w:b w:val="false"/>
      <w:bCs w:val="false"/>
      <w:color w:val="00000A"/>
      <w:sz w:val="20"/>
      <w:szCs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Caratterepredefinitoparagrafo">
    <w:name w:val="Carattere predefinito paragrafo"/>
    <w:qFormat/>
    <w:rPr/>
  </w:style>
  <w:style w:type="character" w:styleId="WWAbsatzStandardschriftart1111">
    <w:name w:val="WW-Absatz-Standardschriftart1111"/>
    <w:qFormat/>
    <w:rPr/>
  </w:style>
  <w:style w:type="character" w:styleId="Caratterepredefinitoparagrafo1">
    <w:name w:val="Carattere predefinito paragrafo1"/>
    <w:qFormat/>
    <w:rPr/>
  </w:style>
  <w:style w:type="character" w:styleId="CollegamentoInternet">
    <w:name w:val="Collegamento Internet"/>
    <w:basedOn w:val="Caratterepredefinitoparagrafo1"/>
    <w:rPr>
      <w:color w:val="0000FF"/>
      <w:u w:val="single"/>
    </w:rPr>
  </w:style>
  <w:style w:type="character" w:styleId="ListLabel1">
    <w:name w:val="ListLabel 1"/>
    <w:qFormat/>
    <w:rPr>
      <w:rFonts w:ascii="Garamond" w:hAnsi="Garamond" w:cs="Garamond"/>
      <w:color w:val="00000A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sz w:val="13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next w:val="Corpodeltesto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Intestazione1">
    <w:name w:val="Intestazione1"/>
    <w:basedOn w:val="Normal"/>
    <w:next w:val="Corpodeltesto"/>
    <w:qFormat/>
    <w:pPr>
      <w:keepNext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gadintestazione">
    <w:name w:val="Riga d'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Corpodeltesto"/>
    <w:qFormat/>
    <w:pPr/>
    <w:rPr/>
  </w:style>
  <w:style w:type="paragraph" w:styleId="ListParagraph">
    <w:name w:val="List Paragraph"/>
    <w:basedOn w:val="Normal"/>
    <w:qFormat/>
    <w:pPr>
      <w:ind w:left="357" w:right="0" w:hanging="357"/>
    </w:pPr>
    <w:rPr/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notetext">
    <w:name w:val="footnote text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mune.campi-bisenzio@postacert.toscana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115</TotalTime>
  <Application>LibreOffice/5.2.5.1$Windows_x86 LibreOffice_project/0312e1a284a7d50ca85a365c316c7abbf20a4d22</Application>
  <Pages>2</Pages>
  <Words>445</Words>
  <Characters>2794</Characters>
  <CharactersWithSpaces>3231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2014-04-16T09:06:00Z</dcterms:created>
  <dc:creator>Sic</dc:creator>
  <dc:description/>
  <dc:language>it-IT</dc:language>
  <cp:lastModifiedBy/>
  <cp:lastPrinted>2018-04-19T13:53:00Z</cp:lastPrinted>
  <dcterms:modified xsi:type="dcterms:W3CDTF">2021-06-18T11:37:35Z</dcterms:modified>
  <cp:revision>19</cp:revision>
  <dc:subject/>
  <dc:title>Comune di Campi Bisenzio</dc:title>
</cp:coreProperties>
</file>